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2"/>
        <w:jc w:val="left"/>
        <w:rPr>
          <w:szCs w:val="28"/>
        </w:rPr>
      </w:pPr>
      <w:r>
        <w:rPr>
          <w:szCs w:val="28"/>
        </w:rPr>
      </w:r>
      <w:r/>
    </w:p>
    <w:p>
      <w:pPr>
        <w:pStyle w:val="685"/>
        <w:rPr>
          <w:szCs w:val="28"/>
        </w:rPr>
      </w:pPr>
      <w:r>
        <w:rPr>
          <w:szCs w:val="28"/>
        </w:rPr>
        <w:t xml:space="preserve">ПОЯСНИТЕЛЬНАЯ ЗАПИСКА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внесении изменени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статью 19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Об обороте земель сельскохозяйственного назначения на территории Новосибирской области</w:t>
      </w:r>
      <w:r>
        <w:rPr>
          <w:b/>
          <w:sz w:val="28"/>
          <w:szCs w:val="28"/>
        </w:rPr>
        <w:t xml:space="preserve">»</w:t>
      </w:r>
      <w:r/>
    </w:p>
    <w:p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 w:val="0"/>
          <w:sz w:val="28"/>
        </w:rPr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Разработка проекта закона Новосибирской области «О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внесении изменений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статью 19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Закон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а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«Об обороте земель сельскохозяйственного назначения на территории Новосибирской области» обусловлена необходимостью приведения законодательства Новосибирской области в соответствие с 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Федеральным законом от 29 декабря 2022 года                № 639-ФЗ «О внесении изменений в Федеральный закон «Об обороте земель сельскохозяйственного назначения»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 (далее – Федеральный закон № 639-ФЗ)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b w:val="0"/>
          <w:sz w:val="28"/>
        </w:rPr>
      </w:r>
      <w:r>
        <w:rPr>
          <w:rFonts w:ascii="Times New Roman" w:hAnsi="Times New Roman" w:cs="Times New Roman" w:eastAsia="Times New Roman"/>
          <w:b w:val="0"/>
          <w:sz w:val="28"/>
        </w:rPr>
      </w:r>
    </w:p>
    <w:p>
      <w:pPr>
        <w:ind w:firstLine="709"/>
        <w:jc w:val="both"/>
        <w:rPr>
          <w:rFonts w:ascii="Times New Roman" w:hAnsi="Times New Roman" w:cs="Times New Roman" w:eastAsia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В этой связи вносится изменение в Закон Новосибирской области 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от 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30 декабря 2003 года 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№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 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162-ОЗ 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«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Об обороте земель сельскохозяйственного назначения на территории Новосибирской области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»</w:t>
      </w:r>
      <w:r>
        <w:rPr>
          <w:rFonts w:ascii="Times New Roman" w:hAnsi="Times New Roman" w:cs="Times New Roman" w:eastAsia="Times New Roman"/>
          <w:b w:val="0"/>
          <w:spacing w:val="-2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(далее –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 Закон Новосибирской области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)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.</w:t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 w:eastAsia="Times New Roman"/>
          <w:b w:val="0"/>
          <w:sz w:val="28"/>
          <w:szCs w:val="28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Проект закона состоит из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двух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статей. </w:t>
      </w:r>
      <w:r>
        <w:rPr>
          <w:rFonts w:ascii="Times New Roman" w:hAnsi="Times New Roman" w:cs="Times New Roman" w:eastAsia="Times New Roman"/>
          <w:b w:val="0"/>
          <w:sz w:val="28"/>
        </w:rPr>
      </w:r>
    </w:p>
    <w:p>
      <w:pPr>
        <w:ind w:firstLine="709"/>
        <w:jc w:val="both"/>
        <w:rPr>
          <w:rFonts w:ascii="Times New Roman" w:hAnsi="Times New Roman" w:cs="Times New Roman" w:eastAsia="Times New Roman"/>
          <w:b w:val="0"/>
          <w:sz w:val="28"/>
          <w:szCs w:val="28"/>
        </w:rPr>
      </w:pP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Статьей 1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вносится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изменение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u w:val="none"/>
        </w:rPr>
        <w:t xml:space="preserve">Закон Новосибирской области </w:t>
      </w:r>
      <w:r/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в части применения единой терминологии</w:t>
      </w:r>
      <w:bookmarkStart w:id="0" w:name="_GoBack"/>
      <w:r>
        <w:rPr>
          <w:rFonts w:ascii="Times New Roman" w:hAnsi="Times New Roman" w:cs="Times New Roman" w:eastAsia="Times New Roman"/>
          <w:b w:val="0"/>
          <w:sz w:val="28"/>
        </w:rPr>
      </w:r>
      <w:bookmarkEnd w:id="0"/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Федеральны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ом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  №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 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639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-ФЗ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Статьей 2 устанавливается порядок вступления проекта закона в силу.</w:t>
      </w:r>
      <w:r>
        <w:rPr>
          <w:rFonts w:ascii="Times New Roman" w:hAnsi="Times New Roman" w:cs="Times New Roman" w:eastAsia="Times New Roman"/>
          <w:b w:val="0"/>
          <w:sz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5462273"/>
      <w:docPartObj>
        <w:docPartGallery w:val="Page Numbers (Top of Page)"/>
        <w:docPartUnique w:val="true"/>
      </w:docPartObj>
      <w:rPr/>
    </w:sdtPr>
    <w:sdtContent>
      <w:p>
        <w:pPr>
          <w:pStyle w:val="695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  <w:r/>
      </w:p>
    </w:sdtContent>
  </w:sdt>
  <w:p>
    <w:pPr>
      <w:pStyle w:val="6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3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9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4"/>
        <w:szCs w:val="24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1" w:hanging="990"/>
        <w:tabs>
          <w:tab w:val="num" w:pos="15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1" w:hanging="360"/>
        <w:tabs>
          <w:tab w:val="num" w:pos="164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1" w:hanging="180"/>
        <w:tabs>
          <w:tab w:val="num" w:pos="236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1" w:hanging="360"/>
        <w:tabs>
          <w:tab w:val="num" w:pos="308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1" w:hanging="360"/>
        <w:tabs>
          <w:tab w:val="num" w:pos="380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1" w:hanging="180"/>
        <w:tabs>
          <w:tab w:val="num" w:pos="452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1" w:hanging="360"/>
        <w:tabs>
          <w:tab w:val="num" w:pos="524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1" w:hanging="360"/>
        <w:tabs>
          <w:tab w:val="num" w:pos="596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1" w:hanging="180"/>
        <w:tabs>
          <w:tab w:val="num" w:pos="6681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4"/>
        <w:szCs w:val="24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99" w:hanging="360"/>
        <w:tabs>
          <w:tab w:val="num" w:pos="89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  <w:tabs>
          <w:tab w:val="num" w:pos="161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  <w:tabs>
          <w:tab w:val="num" w:pos="233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  <w:tabs>
          <w:tab w:val="num" w:pos="305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  <w:tabs>
          <w:tab w:val="num" w:pos="377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  <w:tabs>
          <w:tab w:val="num" w:pos="449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  <w:tabs>
          <w:tab w:val="num" w:pos="521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  <w:tabs>
          <w:tab w:val="num" w:pos="593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  <w:tabs>
          <w:tab w:val="num" w:pos="6659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4"/>
        <w:szCs w:val="24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2"/>
  </w:num>
  <w:num w:numId="12">
    <w:abstractNumId w:val="8"/>
    <w:lvlOverride w:ilvl="0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88"/>
    <w:link w:val="68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88"/>
    <w:link w:val="686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84"/>
    <w:next w:val="68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88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84"/>
    <w:next w:val="68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88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84"/>
    <w:next w:val="68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88"/>
    <w:link w:val="1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88"/>
    <w:link w:val="687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84"/>
    <w:next w:val="68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88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84"/>
    <w:next w:val="68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88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84"/>
    <w:next w:val="68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88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84"/>
    <w:next w:val="68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88"/>
    <w:link w:val="32"/>
    <w:uiPriority w:val="10"/>
    <w:rPr>
      <w:sz w:val="48"/>
      <w:szCs w:val="48"/>
    </w:rPr>
  </w:style>
  <w:style w:type="paragraph" w:styleId="34">
    <w:name w:val="Subtitle"/>
    <w:basedOn w:val="684"/>
    <w:next w:val="68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88"/>
    <w:link w:val="34"/>
    <w:uiPriority w:val="11"/>
    <w:rPr>
      <w:sz w:val="24"/>
      <w:szCs w:val="24"/>
    </w:rPr>
  </w:style>
  <w:style w:type="paragraph" w:styleId="36">
    <w:name w:val="Quote"/>
    <w:basedOn w:val="684"/>
    <w:next w:val="68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84"/>
    <w:next w:val="68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88"/>
    <w:link w:val="695"/>
    <w:uiPriority w:val="99"/>
  </w:style>
  <w:style w:type="character" w:styleId="43">
    <w:name w:val="Footer Char"/>
    <w:basedOn w:val="688"/>
    <w:link w:val="697"/>
    <w:uiPriority w:val="99"/>
  </w:style>
  <w:style w:type="paragraph" w:styleId="44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697"/>
    <w:uiPriority w:val="99"/>
  </w:style>
  <w:style w:type="table" w:styleId="46">
    <w:name w:val="Table Grid"/>
    <w:basedOn w:val="68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8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88"/>
    <w:uiPriority w:val="99"/>
    <w:unhideWhenUsed/>
    <w:rPr>
      <w:vertAlign w:val="superscript"/>
    </w:rPr>
  </w:style>
  <w:style w:type="paragraph" w:styleId="176">
    <w:name w:val="endnote text"/>
    <w:basedOn w:val="68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88"/>
    <w:uiPriority w:val="99"/>
    <w:semiHidden/>
    <w:unhideWhenUsed/>
    <w:rPr>
      <w:vertAlign w:val="superscript"/>
    </w:rPr>
  </w:style>
  <w:style w:type="paragraph" w:styleId="179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qFormat/>
    <w:rPr>
      <w:sz w:val="24"/>
      <w:szCs w:val="24"/>
    </w:rPr>
  </w:style>
  <w:style w:type="paragraph" w:styleId="685">
    <w:name w:val="Heading 1"/>
    <w:basedOn w:val="684"/>
    <w:next w:val="684"/>
    <w:qFormat/>
    <w:pPr>
      <w:jc w:val="center"/>
      <w:keepNext/>
      <w:outlineLvl w:val="0"/>
    </w:pPr>
    <w:rPr>
      <w:b/>
      <w:sz w:val="28"/>
      <w:szCs w:val="20"/>
    </w:rPr>
  </w:style>
  <w:style w:type="paragraph" w:styleId="686">
    <w:name w:val="Heading 2"/>
    <w:basedOn w:val="684"/>
    <w:next w:val="684"/>
    <w:qFormat/>
    <w:pPr>
      <w:jc w:val="center"/>
      <w:keepNext/>
      <w:outlineLvl w:val="1"/>
    </w:pPr>
    <w:rPr>
      <w:b/>
    </w:rPr>
  </w:style>
  <w:style w:type="paragraph" w:styleId="687">
    <w:name w:val="Heading 6"/>
    <w:basedOn w:val="684"/>
    <w:next w:val="684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paragraph" w:styleId="691">
    <w:name w:val="Body Text"/>
    <w:basedOn w:val="684"/>
    <w:pPr>
      <w:jc w:val="center"/>
      <w:spacing w:line="360" w:lineRule="auto"/>
    </w:pPr>
    <w:rPr>
      <w:sz w:val="28"/>
      <w:szCs w:val="20"/>
    </w:rPr>
  </w:style>
  <w:style w:type="paragraph" w:styleId="692">
    <w:name w:val="Body Text Indent"/>
    <w:basedOn w:val="684"/>
    <w:pPr>
      <w:jc w:val="both"/>
    </w:pPr>
    <w:rPr>
      <w:sz w:val="28"/>
      <w:szCs w:val="20"/>
    </w:rPr>
  </w:style>
  <w:style w:type="paragraph" w:styleId="693">
    <w:name w:val="Balloon Text"/>
    <w:basedOn w:val="684"/>
    <w:semiHidden/>
    <w:rPr>
      <w:rFonts w:ascii="Tahoma" w:hAnsi="Tahoma" w:cs="Tahoma"/>
      <w:sz w:val="16"/>
      <w:szCs w:val="16"/>
    </w:rPr>
  </w:style>
  <w:style w:type="paragraph" w:styleId="694">
    <w:name w:val="List Paragraph"/>
    <w:basedOn w:val="684"/>
    <w:uiPriority w:val="34"/>
    <w:qFormat/>
    <w:pPr>
      <w:contextualSpacing/>
      <w:ind w:left="720"/>
    </w:pPr>
  </w:style>
  <w:style w:type="paragraph" w:styleId="695">
    <w:name w:val="Header"/>
    <w:basedOn w:val="684"/>
    <w:link w:val="696"/>
    <w:uiPriority w:val="99"/>
    <w:pPr>
      <w:tabs>
        <w:tab w:val="center" w:pos="4677" w:leader="none"/>
        <w:tab w:val="right" w:pos="9355" w:leader="none"/>
      </w:tabs>
    </w:pPr>
  </w:style>
  <w:style w:type="character" w:styleId="696" w:customStyle="1">
    <w:name w:val="Верхний колонтитул Знак"/>
    <w:basedOn w:val="688"/>
    <w:link w:val="695"/>
    <w:uiPriority w:val="99"/>
    <w:rPr>
      <w:sz w:val="24"/>
      <w:szCs w:val="24"/>
    </w:rPr>
  </w:style>
  <w:style w:type="paragraph" w:styleId="697">
    <w:name w:val="Footer"/>
    <w:basedOn w:val="684"/>
    <w:link w:val="698"/>
    <w:pPr>
      <w:tabs>
        <w:tab w:val="center" w:pos="4677" w:leader="none"/>
        <w:tab w:val="right" w:pos="9355" w:leader="none"/>
      </w:tabs>
    </w:pPr>
  </w:style>
  <w:style w:type="character" w:styleId="698" w:customStyle="1">
    <w:name w:val="Нижний колонтитул Знак"/>
    <w:basedOn w:val="688"/>
    <w:link w:val="697"/>
    <w:rPr>
      <w:sz w:val="24"/>
      <w:szCs w:val="24"/>
    </w:rPr>
  </w:style>
  <w:style w:type="paragraph" w:styleId="699" w:customStyle="1">
    <w:name w:val="ConsPlusNormal"/>
    <w:rPr>
      <w:rFonts w:eastAsiaTheme="minorHAnsi"/>
      <w:sz w:val="28"/>
      <w:szCs w:val="28"/>
      <w:lang w:eastAsia="en-US"/>
    </w:rPr>
  </w:style>
  <w:style w:type="character" w:styleId="700">
    <w:name w:val="Hyperlink"/>
    <w:basedOn w:val="688"/>
    <w:uiPriority w:val="99"/>
    <w:unhideWhenUsed/>
    <w:rPr>
      <w:color w:val="0000FF"/>
      <w:u w:val="single"/>
    </w:rPr>
  </w:style>
  <w:style w:type="character" w:styleId="701" w:customStyle="1">
    <w:name w:val="apple-converted-space"/>
    <w:basedOn w:val="688"/>
  </w:style>
  <w:style w:type="paragraph" w:styleId="702">
    <w:name w:val="Body Text 3"/>
    <w:basedOn w:val="684"/>
    <w:link w:val="703"/>
    <w:pPr>
      <w:spacing w:after="120"/>
    </w:pPr>
    <w:rPr>
      <w:sz w:val="16"/>
      <w:szCs w:val="16"/>
    </w:rPr>
  </w:style>
  <w:style w:type="character" w:styleId="703" w:customStyle="1">
    <w:name w:val="Основной текст 3 Знак"/>
    <w:basedOn w:val="688"/>
    <w:link w:val="702"/>
    <w:rPr>
      <w:sz w:val="16"/>
      <w:szCs w:val="16"/>
    </w:rPr>
  </w:style>
  <w:style w:type="paragraph" w:styleId="704" w:customStyle="1">
    <w:name w:val="ConsPlusTitle"/>
    <w:pPr>
      <w:widowControl w:val="off"/>
    </w:pPr>
    <w:rPr>
      <w:rFonts w:ascii="Calibri" w:hAnsi="Calibri" w:cs="Calibri"/>
      <w:b/>
      <w:sz w:val="22"/>
    </w:rPr>
  </w:style>
  <w:style w:type="character" w:styleId="705" w:customStyle="1">
    <w:name w:val="Основной текст_"/>
    <w:basedOn w:val="688"/>
    <w:link w:val="706"/>
  </w:style>
  <w:style w:type="paragraph" w:styleId="706" w:customStyle="1">
    <w:name w:val="Основной текст1"/>
    <w:basedOn w:val="684"/>
    <w:link w:val="705"/>
    <w:pPr>
      <w:ind w:firstLine="400"/>
      <w:spacing w:line="252" w:lineRule="auto"/>
      <w:widowControl w:val="off"/>
    </w:pPr>
    <w:rPr>
      <w:sz w:val="20"/>
      <w:szCs w:val="20"/>
    </w:rPr>
  </w:style>
  <w:style w:type="paragraph" w:styleId="707">
    <w:name w:val="Normal (Web)"/>
    <w:basedOn w:val="684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89EE6257-1C79-42E4-8DB1-A85E9A2D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ANO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revision>3</cp:revision>
  <dcterms:created xsi:type="dcterms:W3CDTF">2022-09-06T09:03:00Z</dcterms:created>
  <dcterms:modified xsi:type="dcterms:W3CDTF">2023-02-06T06:26:43Z</dcterms:modified>
</cp:coreProperties>
</file>